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125</w:t>
      </w:r>
    </w:p>
    <w:p>
      <w:r>
        <w:t>Bundesgericht (BGE), 1980-05-02, DE</w:t>
      </w:r>
    </w:p>
    <w:p>
      <w:r>
        <w:rPr>
          <w:b/>
        </w:rPr>
        <w:t xml:space="preserve">Quelle: </w:t>
      </w:r>
      <w:r>
        <w:t>https://mcp.opencaselaw.ch/entscheid/bge_106 IV 125</w:t>
      </w:r>
    </w:p>
    <w:p>
      <w:r>
        <w:t>FR: ATF 106 IV 125</w:t>
      </w:r>
    </w:p>
    <w:p>
      <w:r>
        <w:t>IT: DTF 106 IV 125</w:t>
      </w:r>
    </w:p>
    <w:p>
      <w:pPr>
        <w:pStyle w:val="Heading2"/>
      </w:pPr>
      <w:r>
        <w:t>Regeste</w:t>
      </w:r>
    </w:p>
    <w:p>
      <w:r>
        <w:t>Regeste Art. 181 StGB. 1. Begriff der Androhung. Es ist nicht erforderlich, dass der Täter seine Androhung eines ernstlichen Nachteils tatsächlich auch wahrmachen kann; es genügt, wenn der Eintritt des Übels nach der Darstellung des Täters als von seinem Willen abhängig erscheint (E. 2). 2. Voraussetzungen der Rechtswidrigkeit der Nötigung (E. 3).</w:t>
      </w:r>
    </w:p>
    <w:p>
      <w:pPr>
        <w:pStyle w:val="Heading2"/>
      </w:pPr>
      <w:r>
        <w:t>Erwägungen</w:t>
      </w:r>
    </w:p>
    <w:p>
      <w:r>
        <w:rPr>
          <w:b/>
        </w:rPr>
        <w:t>E. 1</w:t>
      </w:r>
    </w:p>
    <w:p>
      <w:r>
        <w:t>Soweit eingangs der Beschwerde verschiedene tatsächliche Feststellungen der Vorinstanz als unrichtig bemängelt werden, ist auf das Rechtsmittel nicht einzutreten. Kritik an der Sachdarstellung des Kantonsgerichts ist im Rahmen einer Nichtigkeitsbeschwerde unzulässig ( Art. 273 Abs. 1 lit. b BStP ). Der Kassationshof ist an die tatsächlichen Feststellungen der kantonalen Behörden gebunden ( Art. 277bis BStP ); verbindlich sind daher unter anderem deren Feststellungen, dass Sch. und A. sich über den unentgeltlichen Einbau eines 1750 ccm-Motors geeinigt hätten und dass Sch. die Forderung des W. von Fr. 500.-- zu keinem Zeitpunkt anerkannt habe.</w:t>
      </w:r>
    </w:p>
    <w:p>
      <w:r>
        <w:rPr>
          <w:b/>
        </w:rPr>
        <w:t>E. 2</w:t>
      </w:r>
    </w:p>
    <w:p>
      <w:r>
        <w:t>Der Beschwerdeführer bestreitet, Sch. einen ernstlichen Nachteil angedroht zu haben. Er habe Sch. für den Fall der Nichteinlösung seines Versprechens betreffend die Zahlung von Fr. 500.-- die Meldung des Sachverhalts beim "Kassensturz" in Aussicht gestellt. Doch habe er auf die Ausstrahlung und Gestaltung einer solchen Fernsehsendung und auf die namentliche Erwähnung des Sch. keinen Einfluss gehabt, weshalb es sich bei seinem Vorgehen um eine blosse Warnung und nicht um eine Androhung im Sinne von Art. 181 StGB gehandelt habe. Ob sein Hinweis auf Sch. einen anderen Eindruck gemacht habe, sei irrelevant. Massgebend sei, ob er bei objektiver Betrachtungsweise Einfluss auf die Fernsehsendung habe nehmen können. Das sei nicht der Fall gewesen. Zudem kämen nach Art. 181 nur Drohungen in Betracht, die eine verständige BGE 106 IV 125 S. 128 Person in der Lage des Betroffenen motivieren könnten. Sch. sei jedoch in seiner Tätigkeit im Autooccasionshandel an rauhe Sitten gewöhnt. Dem sei im Sinne einer Relativierung des angedrohten Nachteils Rechnung zu tragen. So gesehen aber könne die Warnung nie den Stellenwert gehabt haben, den die Vorinstanz ihr beimesse. Tatsächlich habe sich Sch. durch das Verhalten des Beschwerdeführers denn auch in keiner Weise beeindrucken lassen. a) Es trifft zu, dass eine blosse Warnung dem Erfordernis der Androhung eines ernstlichen Nachteils im Sinne von Art. 181 StGB nicht genügt. Zwar sagt gleicherweise ein Übel voraus, wer warnt und wer droht. Der Warnende kündigt indes ein künftiges Übel an, das unabhängig von seinem Willen eintritt; der Drohende erklärt dagegen, er werde das Übel bewirken (SCHWANDER, Das schweizerische StGB, Nr. 628 b). Der Eintritt des Übels muss also, mit anderen Worten, als vom Willen des Täters abhängig hingestellt werden (STRATENWERTH, Schweizerisches Strafrecht, Bd. I, 2. Aufl., 1978, S. 92). Dass diese Abhängigkeit tatsächlich bestehe, ist jedoch nicht nötig. Es genügt, wenn nach der Darstellung des Täters der Eintritt des Nachteils als von seinem Willen abhängig erscheint. Mehr verlangt das Gesetz nicht, denn schon in diesem Falle kann die Drohung geeignet sein, die freie Willensbildung und Willensbetätigung des Betroffenen zu beeinträchtigen (s. auch BGE 79 IV 63 /64). Gerade diese Freiheit aber ist das durch Art. 181 StGB geschützte Rechtsgut. b) Im vorliegenden Fall hing es objektiv zwar nicht vom Willen des Beschwerdeführers ab, ob eine Fernsehsendung über den Occasionshandel ausgestrahlt und dabei der Name Sch. genannt werde. Die Vorinstanz stellt jedoch verbindlich fest, der Beschwerdeführer habe bei Sch. den Eindruck erweckt, er könne Einfluss darauf nehmen, dass der Fall in eine Sendung aufgenommen werde. Damit hat er den Eintritt des Übels als von seinem Willen abhängig hingestellt, den Nachteil also im Sinne des Art. 181 StGB angedroht. Dass diese Drohung geeignet war, eine verständige Person in der Lage des Sch. zu motivieren, liegt nach den Ausführungen des Kantonsgerichtes zweifelsfrei auf der Hand. Für einen im Occasionshandel mit Autos tätigen Geschäftsmann wäre es sehr nachteilig gewesen, wenn von ihm im Fernsehen gesagt worden wäre, er habe einem Kunden ein Fahrzeug verkauft, dessen Motor BGE 106 IV 125 S. 129 durch einen solchen geringerer Leistung ausgewechselt worden war, was dem Käufer nicht bekanntgegeben worden sei. Die Androhung eines solchen Nachteils ist nach seinem objektiven Ausmass geeignet, den Betroffenen in seiner Handlungsfreiheit wesentlich zu beeinträchtigen ( BGE 105 IV 122 , BGE 101 IV 48 , 96 IV 62, BGE 81 IV 105 ). Dass Sch. sich nicht hat beeinflussen lassen, ändert nichts. Die subjektive Widerstandskraft des Opfers spielt entgegen der Meinung des Beschwerdeführers keine Rolle. Wo sich dieses aus irgendeinem Grunde nicht einschüchtern lässt, liegt ein Versuch der Nötigung vor ( BGE 101 IV 48 sowie bezüglich der Erpressung BGE 79 IV 64 ), und nur ein solcher wurde dem Beschwerdeführer zur Last gelegt. Würde man das Vorliegen einer Nötigungshandlung stets verneinen, wenn das Opfer sich durch sie nicht beeinflussen liess, dann wäre eine Bestrafung wegen versuchter Nötigung gar nicht möglich. Dass es aber bei diesem Delikt keinen strafbaren Versuch geben könne, behauptet der Beschwerdeführer zu Recht selber nicht. c) Unbehelflich ist auch der in diesem Zusammenhang erhobene Einwand, wonach es normalerweise kein Nachteil im Rechtssinne sei, wenn tatsächliche oder vermeintliche öffentliche Missstände bei der Presse als dem zuständigen Organ der öffentlichen Meinung anhängig gemacht würden. Diese Überlegung kann gegebenenfalls für die Frage nach der Widerrechtlichkeit der Drohung von Belang sein (s. BGE 101 IV 302 ), nicht aber für diejenige nach dem angedrohten Nachteil. Eine Mitteilung an das Fernsehen kann rechtmässig sein, ihre Ausstrahlung durch das Medium aber dennoch den Betroffenen sehr ernsthaft schädigen.</w:t>
      </w:r>
    </w:p>
    <w:p>
      <w:r>
        <w:rPr>
          <w:b/>
        </w:rPr>
        <w:t>E. 3</w:t>
      </w:r>
    </w:p>
    <w:p>
      <w:r>
        <w:t>W. bestreitet sodann die Rechtswidrigkeit der Drohung. a) Unrechtmässig ist eine Nötigung, wenn das Mittel oder der Zweck unerlaubt ist oder wenn das Mittel zum erstrebten Zweck nicht im richtigen Verhältnis steht oder wenn die Verknüpfung zwischen einem an sich zulässigen Mittel und einem erlaubten Zweck rechtsmissbräuchlich oder sittenwidrig ist ( BGE 105 IV 123 mit Verweisungen). Letzteres trifft insbesondere zu, wenn zwischen dem Gegenstand der Drohung und demjenigen der Forderung kein sachlicher Zusammenhang besteht. b) Im vorliegenden Fall hat die Vorinstanz die Rechtswidrigkeit BGE 106 IV 125 S. 130 der Nötigung einerseits in der sachfremden Verknüpfung von Mittel und Zweck und anderseits in der Unverhältnismässigkeit des Mittels erblickt. Geht man von dem im angefochtenen Urteil verbindlich festgestellten Sachverhalt aus, dann bestand in der Tat zwischen der Drohung, die Sache im "Kassensturz" zur Sprache zu bringen, und der Forderung von Fr. 500.-- kein unmittelbarer sachlicher Zusammenhang. In der fraglichen Fernsehsendung hätte nach der Androhung des Beschwerdeführers das Gebaren des Sch. als Occasionshändler dargestellt werden sollen, der ein Auto mit einem schwächeren als dem im Fahrzeugausweis aufgeführten Motor verkauft hatte. Insoweit aber hatten sich Sch. und der Käufer nach der verbindlichen Feststellung der Vorinstanz geeinigt gehabt, indem der erstere den Austausch des Motors zugesichert hatte; einzig über den Einbautermin war man noch nicht einig geworden, was der vorgenannten Feststellung entgegen der Meinung des Beschwerdeführers nicht widerspricht. Die geltend gemachte Forderung von Fr. 500.-- stellt demgegenüber einen Pauschalbetrag für angebliche Auslagen des Beschwerdeführers für eine von ihm eingeholte Expertise und andere Umtriebe dar und war nach den Feststellungen der Vorinstanz bestritten und keineswegs liquid; es handelte sich bei dieser Forderung also nicht etwa um einen Ersatzanspruch des Käufers für den Minderwert des Kaufgegenstandes. Die Vorinstanz hat daher einen unmittelbaren sachlichen Zusammenhang zwischen dem Sachverhalt, der im Fernsehen androhungsgemäss dargestellt werden sollte, und der Forderung von Fr. 500.-- mit Recht verneint. Die Nötigung war somit mangels eines rechtsgenüglichen Zusammenhangs zwischen Mittel und Zweck rechtswidrig. Sie war es auch deswegen, weil die Nachteile, welche Sch. durch die Fernsehsendung entstanden wären, unverhältnismässig viel grösser gewesen wären als der Vorteil (Umgehung der Risiken eines Zivilprozesses), den der Beschwerdeführer mit der Drohung erwirken wollte. Dass schliesslich W. vorsätzlich gehandelt hat, wurde im angefochtenen Urteil ausdrücklich festgestellt.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